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line="520" w:lineRule="exact"/>
        <w:ind w:firstLine="0"/>
        <w:rPr>
          <w:rFonts w:hint="eastAsia" w:ascii="宋体" w:hAnsi="宋体" w:eastAsia="宋体" w:cs="宋体"/>
          <w:sz w:val="28"/>
          <w:szCs w:val="28"/>
        </w:rPr>
      </w:pPr>
      <w:r>
        <w:rPr>
          <w:rFonts w:ascii="宋体" w:hAnsi="宋体" w:eastAsia="宋体" w:cs="宋体"/>
          <w:spacing w:val="0"/>
          <w:sz w:val="28"/>
          <w:szCs w:val="28"/>
        </w:rPr>
        <w:t>附件</w:t>
      </w:r>
    </w:p>
    <w:p>
      <w:pPr>
        <w:spacing w:before="0" w:line="520" w:lineRule="exact"/>
        <w:ind w:right="0" w:firstLine="0" w:firstLineChars="0"/>
        <w:jc w:val="center"/>
        <w:rPr>
          <w:rFonts w:hint="eastAsia" w:ascii="宋体" w:hAnsi="宋体" w:eastAsia="宋体" w:cs="宋体"/>
          <w:sz w:val="32"/>
          <w:szCs w:val="32"/>
        </w:rPr>
      </w:pPr>
      <w:bookmarkStart w:id="0" w:name="_GoBack"/>
      <w:bookmarkEnd w:id="0"/>
    </w:p>
    <w:p>
      <w:pPr>
        <w:spacing w:before="0" w:line="680" w:lineRule="exact"/>
        <w:ind w:right="0" w:firstLine="0" w:firstLineChars="0"/>
        <w:jc w:val="center"/>
        <w:rPr>
          <w:rFonts w:hint="eastAsia" w:ascii="宋体" w:hAnsi="宋体" w:eastAsia="宋体" w:cs="宋体"/>
          <w:b/>
          <w:bCs/>
          <w:sz w:val="36"/>
          <w:szCs w:val="36"/>
          <w:lang w:val="en-US" w:eastAsia="zh-CN"/>
        </w:rPr>
      </w:pPr>
      <w:r>
        <w:rPr>
          <w:rFonts w:hint="eastAsia" w:ascii="宋体" w:hAnsi="宋体" w:eastAsia="宋体" w:cs="宋体"/>
          <w:b/>
          <w:bCs/>
          <w:spacing w:val="-11"/>
          <w:sz w:val="36"/>
          <w:szCs w:val="36"/>
        </w:rPr>
        <w:t>安徽省重点生态环境保护实用技术及示范工程</w:t>
      </w:r>
      <w:r>
        <w:rPr>
          <w:rFonts w:hint="eastAsia" w:ascii="宋体" w:hAnsi="宋体" w:eastAsia="宋体" w:cs="宋体"/>
          <w:b/>
          <w:bCs/>
          <w:spacing w:val="-11"/>
          <w:sz w:val="36"/>
          <w:szCs w:val="36"/>
          <w:lang w:val="en-US" w:eastAsia="zh-CN"/>
        </w:rPr>
        <w:t>申报指南</w:t>
      </w:r>
    </w:p>
    <w:p>
      <w:pPr>
        <w:spacing w:before="0" w:line="520" w:lineRule="exact"/>
        <w:ind w:right="0" w:firstLine="0" w:firstLineChars="0"/>
        <w:jc w:val="center"/>
        <w:rPr>
          <w:rFonts w:hint="default" w:ascii="宋体" w:hAnsi="宋体" w:eastAsia="宋体" w:cs="宋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outlineLvl w:val="0"/>
        <w:rPr>
          <w:rFonts w:ascii="宋体" w:hAnsi="宋体" w:eastAsia="宋体" w:cs="宋体"/>
          <w:b w:val="0"/>
          <w:bCs w:val="0"/>
          <w:sz w:val="28"/>
          <w:szCs w:val="28"/>
          <w:u w:val="none"/>
        </w:rPr>
      </w:pPr>
      <w:r>
        <w:rPr>
          <w:rFonts w:hint="eastAsia" w:ascii="宋体" w:hAnsi="宋体" w:eastAsia="宋体" w:cs="宋体"/>
          <w:b w:val="0"/>
          <w:bCs w:val="0"/>
          <w:spacing w:val="0"/>
          <w:sz w:val="28"/>
          <w:szCs w:val="28"/>
          <w:u w:val="none"/>
          <w:lang w:val="en-US" w:eastAsia="zh-CN"/>
          <w14:textOutline w14:w="5094" w14:cap="flat" w14:cmpd="sng">
            <w14:solidFill>
              <w14:srgbClr w14:val="000000"/>
            </w14:solidFill>
            <w14:prstDash w14:val="solid"/>
            <w14:miter w14:val="0"/>
          </w14:textOutline>
        </w:rPr>
        <w:t>一、</w:t>
      </w:r>
      <w:r>
        <w:rPr>
          <w:rFonts w:ascii="宋体" w:hAnsi="宋体" w:eastAsia="宋体" w:cs="宋体"/>
          <w:b w:val="0"/>
          <w:bCs w:val="0"/>
          <w:spacing w:val="0"/>
          <w:sz w:val="28"/>
          <w:szCs w:val="28"/>
          <w:u w:val="none"/>
          <w14:textOutline w14:w="5094" w14:cap="flat" w14:cmpd="sng">
            <w14:solidFill>
              <w14:srgbClr w14:val="000000"/>
            </w14:solidFill>
            <w14:prstDash w14:val="solid"/>
            <w14:miter w14:val="0"/>
          </w14:textOutline>
        </w:rPr>
        <w:t>项目定位</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z w:val="28"/>
          <w:szCs w:val="28"/>
        </w:rPr>
      </w:pPr>
      <w:r>
        <w:rPr>
          <w:rFonts w:hint="eastAsia" w:ascii="宋体" w:hAnsi="宋体" w:eastAsia="宋体" w:cs="宋体"/>
          <w:spacing w:val="0"/>
          <w:sz w:val="28"/>
          <w:szCs w:val="28"/>
          <w:lang w:val="en-US" w:eastAsia="zh-CN"/>
        </w:rPr>
        <w:t>安徽省</w:t>
      </w:r>
      <w:r>
        <w:rPr>
          <w:rFonts w:ascii="宋体" w:hAnsi="宋体" w:eastAsia="宋体" w:cs="宋体"/>
          <w:spacing w:val="0"/>
          <w:sz w:val="28"/>
          <w:szCs w:val="28"/>
        </w:rPr>
        <w:t>重点生态环境保护实用技术</w:t>
      </w:r>
      <w:r>
        <w:rPr>
          <w:rFonts w:hint="eastAsia" w:ascii="宋体" w:hAnsi="宋体" w:eastAsia="宋体" w:cs="宋体"/>
          <w:spacing w:val="0"/>
          <w:sz w:val="28"/>
          <w:szCs w:val="28"/>
          <w:lang w:val="en-US" w:eastAsia="zh-CN"/>
        </w:rPr>
        <w:t>及</w:t>
      </w:r>
      <w:r>
        <w:rPr>
          <w:rFonts w:ascii="宋体" w:hAnsi="宋体" w:eastAsia="宋体" w:cs="宋体"/>
          <w:spacing w:val="0"/>
          <w:sz w:val="28"/>
          <w:szCs w:val="28"/>
        </w:rPr>
        <w:t>示范工程包括重点生态环境保护实用技术（简称“实用技术”）和重点生态环境保护示范工程（简</w:t>
      </w:r>
      <w:r>
        <w:rPr>
          <w:rFonts w:ascii="宋体" w:hAnsi="宋体" w:eastAsia="宋体" w:cs="宋体"/>
          <w:spacing w:val="0"/>
          <w:w w:val="98"/>
          <w:sz w:val="28"/>
          <w:szCs w:val="28"/>
        </w:rPr>
        <w:t>称“示范工程”）。</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实用技术指在一定时期内，同国家生态环境保护需求和经济发展水平相适应的先进适用生态环境保护技术，包括污染防治、碳减排、生态环境修复、资源综合利用、环境监测及智慧化环境监控管理等领域的技术。</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示范工程指采用先进生态环境保护技术、装备、材料或创新服务模式，具有示范推广意义的工程，包括污染防治工程、生态修复工程、资源综合利用工程、碳减排及生态环境综合治理工程。</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范围覆盖生态环境保护领域各类技术、装备、材料及工程。</w:t>
      </w:r>
    </w:p>
    <w:p>
      <w:pPr>
        <w:keepNext w:val="0"/>
        <w:keepLines w:val="0"/>
        <w:pageBreakBefore w:val="0"/>
        <w:widowControl/>
        <w:numPr>
          <w:ilvl w:val="0"/>
          <w:numId w:val="1"/>
        </w:numPr>
        <w:kinsoku w:val="0"/>
        <w:wordWrap/>
        <w:overflowPunct/>
        <w:topLinePunct w:val="0"/>
        <w:autoSpaceDE w:val="0"/>
        <w:autoSpaceDN w:val="0"/>
        <w:bidi w:val="0"/>
        <w:adjustRightInd w:val="0"/>
        <w:snapToGrid w:val="0"/>
        <w:spacing w:before="0" w:line="500" w:lineRule="exact"/>
        <w:ind w:left="0" w:firstLine="562" w:firstLineChars="200"/>
        <w:textAlignment w:val="baseline"/>
        <w:rPr>
          <w:rFonts w:hint="eastAsia" w:ascii="宋体" w:hAnsi="宋体" w:eastAsia="宋体" w:cs="宋体"/>
          <w:b/>
          <w:bCs/>
          <w:spacing w:val="0"/>
          <w:sz w:val="28"/>
          <w:szCs w:val="28"/>
          <w:lang w:eastAsia="zh-CN"/>
        </w:rPr>
      </w:pPr>
      <w:r>
        <w:rPr>
          <w:rFonts w:hint="eastAsia" w:ascii="宋体" w:hAnsi="宋体" w:eastAsia="宋体" w:cs="宋体"/>
          <w:b/>
          <w:bCs/>
          <w:spacing w:val="0"/>
          <w:sz w:val="28"/>
          <w:szCs w:val="28"/>
          <w:lang w:eastAsia="zh-CN"/>
        </w:rPr>
        <w:t>推荐重点领域</w:t>
      </w:r>
    </w:p>
    <w:p>
      <w:pPr>
        <w:keepNext w:val="0"/>
        <w:keepLines w:val="0"/>
        <w:pageBreakBefore w:val="0"/>
        <w:widowControl/>
        <w:numPr>
          <w:ilvl w:val="0"/>
          <w:numId w:val="2"/>
        </w:numPr>
        <w:kinsoku w:val="0"/>
        <w:wordWrap/>
        <w:overflowPunct/>
        <w:topLinePunct w:val="0"/>
        <w:autoSpaceDE w:val="0"/>
        <w:autoSpaceDN w:val="0"/>
        <w:bidi w:val="0"/>
        <w:adjustRightInd w:val="0"/>
        <w:snapToGrid w:val="0"/>
        <w:spacing w:before="0" w:line="500" w:lineRule="exact"/>
        <w:ind w:firstLine="562" w:firstLineChars="200"/>
        <w:textAlignment w:val="baseline"/>
        <w:rPr>
          <w:rFonts w:hint="eastAsia" w:ascii="宋体" w:hAnsi="宋体" w:eastAsia="宋体" w:cs="宋体"/>
          <w:b/>
          <w:bCs/>
          <w:spacing w:val="0"/>
          <w:sz w:val="28"/>
          <w:szCs w:val="28"/>
          <w:lang w:eastAsia="zh-CN"/>
        </w:rPr>
      </w:pPr>
      <w:r>
        <w:rPr>
          <w:rFonts w:hint="eastAsia" w:ascii="宋体" w:hAnsi="宋体" w:eastAsia="宋体" w:cs="宋体"/>
          <w:b/>
          <w:bCs/>
          <w:spacing w:val="0"/>
          <w:sz w:val="28"/>
          <w:szCs w:val="28"/>
          <w:lang w:eastAsia="zh-CN"/>
        </w:rPr>
        <w:t>大气污染防治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val="en-US" w:eastAsia="zh-CN"/>
        </w:rPr>
        <w:t>1.</w:t>
      </w:r>
      <w:r>
        <w:rPr>
          <w:rFonts w:hint="eastAsia" w:ascii="宋体" w:hAnsi="宋体" w:eastAsia="宋体" w:cs="宋体"/>
          <w:spacing w:val="0"/>
          <w:sz w:val="28"/>
          <w:szCs w:val="28"/>
          <w:lang w:eastAsia="zh-CN"/>
        </w:rPr>
        <w:t>工业烟气治理，钢铁、水泥、焦化、有色、玻璃、陶瓷等行业工业炉窑烟气净化、超低排放及多污染物协同控制，燃煤发电机组和工业锅炉烟气多污染物协同控制及超低排放，燃油和燃气工业锅炉烟气净化，生活垃圾、危险废物、生物质等焚烧烟气净化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2.有机废气治理，石化、化工、涂装、制药、包装印刷、油品储运销、汽车制造、电子、家具制造等行业挥发性有机物源头减排和污染治理，餐饮油烟、恶臭异味治理；</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3.移动源污染治理，柴油车、船舶、非道路机械等移动源污染治理；</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4.细颗粒物和臭氧协同控制，消耗臭氧层物质和氢氟碳化物控制，涉气产业园区和集群大气环境综合治理，工业企业燃煤设施清洁能源替代，重污染天气应对，采暖燃煤污染治理，施工、道路、堆场、裸露地面等扬尘管控，催化剂、吸附剂等大气污染防治专用材料。</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2" w:firstLineChars="200"/>
        <w:textAlignment w:val="baseline"/>
        <w:rPr>
          <w:rFonts w:hint="eastAsia" w:ascii="宋体" w:hAnsi="宋体" w:eastAsia="宋体" w:cs="宋体"/>
          <w:b/>
          <w:bCs/>
          <w:spacing w:val="0"/>
          <w:sz w:val="28"/>
          <w:szCs w:val="28"/>
          <w:lang w:eastAsia="zh-CN"/>
        </w:rPr>
      </w:pPr>
      <w:r>
        <w:rPr>
          <w:rFonts w:hint="eastAsia" w:ascii="宋体" w:hAnsi="宋体" w:eastAsia="宋体" w:cs="宋体"/>
          <w:b/>
          <w:bCs/>
          <w:spacing w:val="0"/>
          <w:sz w:val="28"/>
          <w:szCs w:val="28"/>
          <w:lang w:eastAsia="zh-CN"/>
        </w:rPr>
        <w:t>（二）水污染防治</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1.生活污水处理及资源化，包括城镇、农村生活污水处理及资源化，工矿企业和医疗机构污水处理及资源化，污水处理设施与配套管网维护管理，区域再生水循环利用等；</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2.工业废水处理及资源化，包括印染、造纸、焦化、化工、制药、有色金属采选和冶炼、铅蓄电池制造、电镀、制革等行业废水处理及资源化，工业园区、尾矿库等水污染治理，垃圾渗滤液处理及资源化等；</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3.水体修复和保护，包括黑臭水体治理、水体内源污染治理、重点湖库富营养化控制、流域水生态修复、流域水环境综合治理、河湖生态缓冲带修复、天然（人工）湿地生态系统保护与建设、水源涵养区保护、饮用水水源地保护、入河排污口管控等；</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559" w:leftChars="266" w:firstLine="0" w:firstLineChars="0"/>
        <w:textAlignment w:val="baseline"/>
        <w:rPr>
          <w:rFonts w:hint="eastAsia" w:ascii="宋体" w:hAnsi="宋体" w:eastAsia="宋体" w:cs="宋体"/>
          <w:b/>
          <w:bCs/>
          <w:spacing w:val="0"/>
          <w:sz w:val="28"/>
          <w:szCs w:val="28"/>
          <w:lang w:eastAsia="zh-CN"/>
        </w:rPr>
      </w:pPr>
      <w:r>
        <w:rPr>
          <w:rFonts w:hint="eastAsia" w:ascii="宋体" w:hAnsi="宋体" w:eastAsia="宋体" w:cs="宋体"/>
          <w:spacing w:val="0"/>
          <w:sz w:val="28"/>
          <w:szCs w:val="28"/>
          <w:lang w:eastAsia="zh-CN"/>
        </w:rPr>
        <w:t>4.水污染治理设施低碳运行、水处理用材料、药剂和装备等。</w:t>
      </w:r>
      <w:r>
        <w:rPr>
          <w:rFonts w:hint="eastAsia" w:ascii="宋体" w:hAnsi="宋体" w:eastAsia="宋体" w:cs="宋体"/>
          <w:b/>
          <w:bCs/>
          <w:spacing w:val="0"/>
          <w:sz w:val="28"/>
          <w:szCs w:val="28"/>
          <w:lang w:eastAsia="zh-CN"/>
        </w:rPr>
        <w:t>（三）重点海域综合治理</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以渤海、长江口-杭州湾、珠江口邻近海域为重点，包括海水养殖环境治理、入海排污口及直排海污染源管控、船舶港口污染防治、亲海岸滩环境治理、海洋生态系统保护修复、美丽海湾示范建设等。</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2" w:firstLineChars="200"/>
        <w:textAlignment w:val="baseline"/>
        <w:rPr>
          <w:rFonts w:hint="eastAsia" w:ascii="宋体" w:hAnsi="宋体" w:eastAsia="宋体" w:cs="宋体"/>
          <w:b/>
          <w:bCs/>
          <w:spacing w:val="0"/>
          <w:sz w:val="28"/>
          <w:szCs w:val="28"/>
          <w:lang w:eastAsia="zh-CN"/>
        </w:rPr>
      </w:pPr>
      <w:r>
        <w:rPr>
          <w:rFonts w:hint="eastAsia" w:ascii="宋体" w:hAnsi="宋体" w:eastAsia="宋体" w:cs="宋体"/>
          <w:b/>
          <w:bCs/>
          <w:spacing w:val="0"/>
          <w:sz w:val="28"/>
          <w:szCs w:val="28"/>
          <w:lang w:eastAsia="zh-CN"/>
        </w:rPr>
        <w:t>（</w:t>
      </w:r>
      <w:r>
        <w:rPr>
          <w:rFonts w:hint="eastAsia" w:ascii="宋体" w:hAnsi="宋体" w:eastAsia="宋体" w:cs="宋体"/>
          <w:b/>
          <w:bCs/>
          <w:spacing w:val="0"/>
          <w:sz w:val="28"/>
          <w:szCs w:val="28"/>
          <w:lang w:val="en-US" w:eastAsia="zh-CN"/>
        </w:rPr>
        <w:t>四</w:t>
      </w:r>
      <w:r>
        <w:rPr>
          <w:rFonts w:hint="eastAsia" w:ascii="宋体" w:hAnsi="宋体" w:eastAsia="宋体" w:cs="宋体"/>
          <w:b/>
          <w:bCs/>
          <w:spacing w:val="0"/>
          <w:sz w:val="28"/>
          <w:szCs w:val="28"/>
          <w:lang w:eastAsia="zh-CN"/>
        </w:rPr>
        <w:t>）土壤和地下水污染防治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val="en-US" w:eastAsia="zh-CN"/>
        </w:rPr>
        <w:t>1.</w:t>
      </w:r>
      <w:r>
        <w:rPr>
          <w:rFonts w:hint="eastAsia" w:ascii="宋体" w:hAnsi="宋体" w:eastAsia="宋体" w:cs="宋体"/>
          <w:spacing w:val="0"/>
          <w:sz w:val="28"/>
          <w:szCs w:val="28"/>
          <w:lang w:eastAsia="zh-CN"/>
        </w:rPr>
        <w:t>土壤和地下水污染调查评估、风险管控和修复，包括建设用地土壤污染风险管控和修复、农用地工矿污染源治理、工矿企业重金属污染治理、历史遗留重金属污染区域治理、化学品生产企业及工业集聚区地下水污染风险管控、矿山开采区及尾矿库地下水污染综合治理、危险废物处置场及垃圾填埋场地下水污染防治；</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2.依赖地下水的生态系统保护、地下水型饮用水水源地保护、重点污染源防渗改造、废弃井封井回填等。</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2" w:firstLineChars="200"/>
        <w:textAlignment w:val="baseline"/>
        <w:rPr>
          <w:rFonts w:hint="eastAsia" w:ascii="宋体" w:hAnsi="宋体" w:eastAsia="宋体" w:cs="宋体"/>
          <w:b/>
          <w:bCs/>
          <w:spacing w:val="0"/>
          <w:sz w:val="28"/>
          <w:szCs w:val="28"/>
          <w:lang w:eastAsia="zh-CN"/>
        </w:rPr>
      </w:pPr>
      <w:r>
        <w:rPr>
          <w:rFonts w:hint="eastAsia" w:ascii="宋体" w:hAnsi="宋体" w:eastAsia="宋体" w:cs="宋体"/>
          <w:b/>
          <w:bCs/>
          <w:spacing w:val="0"/>
          <w:sz w:val="28"/>
          <w:szCs w:val="28"/>
          <w:lang w:eastAsia="zh-CN"/>
        </w:rPr>
        <w:t>（五）农业农村污染治理</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包括农村污水处理和资源化利用、农村垃圾治理、农村黑臭水体治理、废弃农膜回收利用、秸秆综合利用、畜禽与水产养殖污染治理和粪污资源化利用、种植业面源污染治理、农村生态环境综合治理等。</w:t>
      </w:r>
    </w:p>
    <w:p>
      <w:pPr>
        <w:keepNext w:val="0"/>
        <w:keepLines w:val="0"/>
        <w:pageBreakBefore w:val="0"/>
        <w:widowControl/>
        <w:numPr>
          <w:ilvl w:val="0"/>
          <w:numId w:val="3"/>
        </w:numPr>
        <w:kinsoku w:val="0"/>
        <w:wordWrap/>
        <w:overflowPunct/>
        <w:topLinePunct w:val="0"/>
        <w:autoSpaceDE w:val="0"/>
        <w:autoSpaceDN w:val="0"/>
        <w:bidi w:val="0"/>
        <w:adjustRightInd w:val="0"/>
        <w:snapToGrid w:val="0"/>
        <w:spacing w:before="0" w:line="500" w:lineRule="exact"/>
        <w:ind w:left="0" w:firstLine="562" w:firstLineChars="200"/>
        <w:textAlignment w:val="baseline"/>
        <w:rPr>
          <w:rFonts w:hint="eastAsia" w:ascii="宋体" w:hAnsi="宋体" w:eastAsia="宋体" w:cs="宋体"/>
          <w:b/>
          <w:bCs/>
          <w:spacing w:val="0"/>
          <w:sz w:val="28"/>
          <w:szCs w:val="28"/>
          <w:lang w:eastAsia="zh-CN"/>
        </w:rPr>
      </w:pPr>
      <w:r>
        <w:rPr>
          <w:rFonts w:hint="eastAsia" w:ascii="宋体" w:hAnsi="宋体" w:eastAsia="宋体" w:cs="宋体"/>
          <w:b/>
          <w:bCs/>
          <w:spacing w:val="0"/>
          <w:sz w:val="28"/>
          <w:szCs w:val="28"/>
          <w:lang w:eastAsia="zh-CN"/>
        </w:rPr>
        <w:t>固体废物处理处置及资源化</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val="en-US" w:eastAsia="zh-CN"/>
        </w:rPr>
        <w:t>1.</w:t>
      </w:r>
      <w:r>
        <w:rPr>
          <w:rFonts w:hint="eastAsia" w:ascii="宋体" w:hAnsi="宋体" w:eastAsia="宋体" w:cs="宋体"/>
          <w:spacing w:val="0"/>
          <w:sz w:val="28"/>
          <w:szCs w:val="28"/>
          <w:lang w:eastAsia="zh-CN"/>
        </w:rPr>
        <w:t>城市和农村生活垃圾收集、处理处置及资源化；</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2.危险废物处理处置及资源化，包括垃圾焚烧飞灰、废矿物油、电镀污泥、废铅酸蓄电池等处理处置及资源化，医疗废物处理处置，危险废物移动处置，危险废物利用处置重金属污染治理，危险废物全过程智能化追溯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3.有机固体废物（不含危险废物）处理及资源化，包括餐厨垃圾、水处理产生的污泥、畜禽粪便、农业固体废物等处理处置及资源化等；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4.工业固体废物及新兴产业固体废物处理处置及资源化，包括工业固体废物环境风险管控，尾矿、冶炼渣、脱硫石膏等工业固体废物处理及资源化，退役动力电池、光伏组件、风电机组叶片循环利用与处置等；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5.“无废城市”相关固体废物精细化管理，建筑垃圾和道路沥青资源化利用，废弃电器、电子产品、汽车等处理及资源化，包装废弃物回收处理等。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6.新污染物环境风险防控及污染治理，新污染物包括持久性有机污染物、内分泌干扰物、抗生素、微塑料等。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2" w:firstLineChars="200"/>
        <w:textAlignment w:val="baseline"/>
        <w:rPr>
          <w:rFonts w:hint="eastAsia" w:ascii="宋体" w:hAnsi="宋体" w:eastAsia="宋体" w:cs="宋体"/>
          <w:b/>
          <w:bCs/>
          <w:spacing w:val="0"/>
          <w:sz w:val="28"/>
          <w:szCs w:val="28"/>
          <w:lang w:eastAsia="zh-CN"/>
        </w:rPr>
      </w:pPr>
      <w:r>
        <w:rPr>
          <w:rFonts w:hint="eastAsia" w:ascii="宋体" w:hAnsi="宋体" w:eastAsia="宋体" w:cs="宋体"/>
          <w:b/>
          <w:bCs/>
          <w:spacing w:val="0"/>
          <w:sz w:val="28"/>
          <w:szCs w:val="28"/>
          <w:lang w:eastAsia="zh-CN"/>
        </w:rPr>
        <w:t>（七）生态保护修复</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重要生态系统保护和修复、山水林田湖草沙冰一体化保护和修复、矿区生态保护修复、采煤沉陷区综合治理、生物多样性保护及荒漠化、石漠化、水土流失综合治理等。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2" w:firstLineChars="200"/>
        <w:textAlignment w:val="baseline"/>
        <w:rPr>
          <w:rFonts w:hint="eastAsia" w:ascii="宋体" w:hAnsi="宋体" w:eastAsia="宋体" w:cs="宋体"/>
          <w:b/>
          <w:bCs/>
          <w:spacing w:val="0"/>
          <w:sz w:val="28"/>
          <w:szCs w:val="28"/>
          <w:lang w:eastAsia="zh-CN"/>
        </w:rPr>
      </w:pPr>
      <w:r>
        <w:rPr>
          <w:rFonts w:hint="eastAsia" w:ascii="宋体" w:hAnsi="宋体" w:eastAsia="宋体" w:cs="宋体"/>
          <w:b/>
          <w:bCs/>
          <w:spacing w:val="0"/>
          <w:sz w:val="28"/>
          <w:szCs w:val="28"/>
          <w:lang w:eastAsia="zh-CN"/>
        </w:rPr>
        <w:t>（</w:t>
      </w:r>
      <w:r>
        <w:rPr>
          <w:rFonts w:hint="eastAsia" w:ascii="宋体" w:hAnsi="宋体" w:eastAsia="宋体" w:cs="宋体"/>
          <w:b/>
          <w:bCs/>
          <w:spacing w:val="0"/>
          <w:sz w:val="28"/>
          <w:szCs w:val="28"/>
          <w:lang w:val="en-US" w:eastAsia="zh-CN"/>
        </w:rPr>
        <w:t>八</w:t>
      </w:r>
      <w:r>
        <w:rPr>
          <w:rFonts w:hint="eastAsia" w:ascii="宋体" w:hAnsi="宋体" w:eastAsia="宋体" w:cs="宋体"/>
          <w:b/>
          <w:bCs/>
          <w:spacing w:val="0"/>
          <w:sz w:val="28"/>
          <w:szCs w:val="28"/>
          <w:lang w:eastAsia="zh-CN"/>
        </w:rPr>
        <w:t>）环境监测监控</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包括水质、空气质量、土壤监测，水生态环境监测，细颗粒物和臭氧协同控制监测，危险废物利用处置环境监测，温室气体排放监测，特征污染物监测，重点污染源在线监测，智慧化环境监控平台、监测网络，环境应急监测，生态环境监测与信息能力建设等。</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2" w:firstLineChars="200"/>
        <w:textAlignment w:val="baseline"/>
        <w:rPr>
          <w:rFonts w:hint="eastAsia" w:ascii="宋体" w:hAnsi="宋体" w:eastAsia="宋体" w:cs="宋体"/>
          <w:spacing w:val="0"/>
          <w:sz w:val="28"/>
          <w:szCs w:val="28"/>
          <w:lang w:eastAsia="zh-CN"/>
        </w:rPr>
      </w:pPr>
      <w:r>
        <w:rPr>
          <w:rFonts w:hint="eastAsia" w:ascii="宋体" w:hAnsi="宋体" w:eastAsia="宋体" w:cs="宋体"/>
          <w:b/>
          <w:bCs/>
          <w:spacing w:val="0"/>
          <w:sz w:val="28"/>
          <w:szCs w:val="28"/>
          <w:lang w:eastAsia="zh-CN"/>
        </w:rPr>
        <w:t>（</w:t>
      </w:r>
      <w:r>
        <w:rPr>
          <w:rFonts w:hint="eastAsia" w:ascii="宋体" w:hAnsi="宋体" w:eastAsia="宋体" w:cs="宋体"/>
          <w:b/>
          <w:bCs/>
          <w:spacing w:val="0"/>
          <w:sz w:val="28"/>
          <w:szCs w:val="28"/>
          <w:lang w:val="en-US" w:eastAsia="zh-CN"/>
        </w:rPr>
        <w:t>九）</w:t>
      </w:r>
      <w:r>
        <w:rPr>
          <w:rFonts w:hint="eastAsia" w:ascii="宋体" w:hAnsi="宋体" w:eastAsia="宋体" w:cs="宋体"/>
          <w:b/>
          <w:bCs/>
          <w:spacing w:val="0"/>
          <w:sz w:val="28"/>
          <w:szCs w:val="28"/>
          <w:lang w:eastAsia="zh-CN"/>
        </w:rPr>
        <w:t>温室气体排放控制（碳减排）</w:t>
      </w:r>
      <w:r>
        <w:rPr>
          <w:rFonts w:hint="eastAsia" w:ascii="宋体" w:hAnsi="宋体" w:eastAsia="宋体" w:cs="宋体"/>
          <w:spacing w:val="0"/>
          <w:sz w:val="28"/>
          <w:szCs w:val="28"/>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包括清洁能源替代减排，资源利用效率提高、能效提高、减排工艺替代、能源资源回收利用减排，温室气体捕集、存储、利用，设施低碳排放运行管控等。</w:t>
      </w:r>
    </w:p>
    <w:p>
      <w:pPr>
        <w:keepNext w:val="0"/>
        <w:keepLines w:val="0"/>
        <w:pageBreakBefore w:val="0"/>
        <w:widowControl/>
        <w:numPr>
          <w:ilvl w:val="0"/>
          <w:numId w:val="4"/>
        </w:numPr>
        <w:kinsoku w:val="0"/>
        <w:wordWrap/>
        <w:overflowPunct/>
        <w:topLinePunct w:val="0"/>
        <w:autoSpaceDE w:val="0"/>
        <w:autoSpaceDN w:val="0"/>
        <w:bidi w:val="0"/>
        <w:adjustRightInd w:val="0"/>
        <w:snapToGrid w:val="0"/>
        <w:spacing w:before="0" w:line="500" w:lineRule="exact"/>
        <w:ind w:left="0" w:firstLine="562" w:firstLineChars="200"/>
        <w:textAlignment w:val="baseline"/>
        <w:rPr>
          <w:rFonts w:hint="eastAsia" w:ascii="宋体" w:hAnsi="宋体" w:eastAsia="宋体" w:cs="宋体"/>
          <w:b/>
          <w:bCs/>
          <w:spacing w:val="0"/>
          <w:sz w:val="28"/>
          <w:szCs w:val="28"/>
          <w:lang w:eastAsia="zh-CN"/>
        </w:rPr>
      </w:pPr>
      <w:r>
        <w:rPr>
          <w:rFonts w:hint="eastAsia" w:ascii="宋体" w:hAnsi="宋体" w:eastAsia="宋体" w:cs="宋体"/>
          <w:b/>
          <w:bCs/>
          <w:spacing w:val="0"/>
          <w:sz w:val="28"/>
          <w:szCs w:val="28"/>
          <w:lang w:eastAsia="zh-CN"/>
        </w:rPr>
        <w:t>其他</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firstLine="560" w:firstLineChars="200"/>
        <w:textAlignment w:val="baseline"/>
        <w:rPr>
          <w:rFonts w:hint="eastAsia" w:ascii="宋体" w:hAnsi="宋体" w:eastAsia="宋体" w:cs="宋体"/>
          <w:spacing w:val="0"/>
          <w:sz w:val="28"/>
          <w:szCs w:val="28"/>
          <w:lang w:eastAsia="zh-CN"/>
        </w:rPr>
      </w:pPr>
      <w:r>
        <w:rPr>
          <w:rFonts w:hint="eastAsia" w:ascii="宋体" w:hAnsi="宋体" w:eastAsia="宋体" w:cs="宋体"/>
          <w:spacing w:val="0"/>
          <w:sz w:val="28"/>
          <w:szCs w:val="28"/>
          <w:lang w:eastAsia="zh-CN"/>
        </w:rPr>
        <w:t>噪声与振动、电磁等物理污染防治，重点行业清洁生产改造，环境污染防治工程智能化运行，突发环境污染应急，室内空气净化，通用药剂、材料、设备。</w:t>
      </w:r>
    </w:p>
    <w:p>
      <w:pPr>
        <w:rPr>
          <w:rFonts w:hint="eastAsia" w:ascii="宋体" w:hAnsi="宋体" w:eastAsia="宋体" w:cs="宋体"/>
          <w:spacing w:val="0"/>
          <w:sz w:val="28"/>
          <w:szCs w:val="28"/>
          <w:lang w:val="en-US" w:eastAsia="zh-CN"/>
          <w14:textOutline w14:w="5094" w14:cap="flat" w14:cmpd="sng">
            <w14:solidFill>
              <w14:srgbClr w14:val="000000"/>
            </w14:solidFill>
            <w14:prstDash w14:val="solid"/>
            <w14:miter w14:val="0"/>
          </w14:textOutline>
        </w:rPr>
      </w:pPr>
      <w:r>
        <w:rPr>
          <w:rFonts w:hint="eastAsia" w:ascii="宋体" w:hAnsi="宋体" w:eastAsia="宋体" w:cs="宋体"/>
          <w:spacing w:val="0"/>
          <w:sz w:val="28"/>
          <w:szCs w:val="28"/>
          <w:lang w:val="en-US" w:eastAsia="zh-CN"/>
          <w14:textOutline w14:w="5094" w14:cap="flat" w14:cmpd="sng">
            <w14:solidFill>
              <w14:srgbClr w14:val="000000"/>
            </w14:solidFill>
            <w14:prstDash w14:val="solid"/>
            <w14:miter w14:val="0"/>
          </w14:textOutline>
        </w:rPr>
        <w:br w:type="page"/>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right="0" w:firstLine="560" w:firstLineChars="200"/>
        <w:textAlignment w:val="baseline"/>
        <w:outlineLvl w:val="0"/>
        <w:rPr>
          <w:rFonts w:hint="eastAsia" w:ascii="宋体" w:hAnsi="宋体" w:eastAsia="宋体" w:cs="宋体"/>
          <w:b w:val="0"/>
          <w:bCs w:val="0"/>
          <w:spacing w:val="0"/>
          <w:sz w:val="28"/>
          <w:szCs w:val="28"/>
          <w:u w:val="none"/>
          <w:lang w:val="en-US" w:eastAsia="zh-CN"/>
          <w14:textOutline w14:w="5094" w14:cap="flat" w14:cmpd="sng">
            <w14:solidFill>
              <w14:srgbClr w14:val="000000"/>
            </w14:solidFill>
            <w14:prstDash w14:val="solid"/>
            <w14:miter w14:val="0"/>
          </w14:textOutline>
        </w:rPr>
      </w:pPr>
      <w:r>
        <w:rPr>
          <w:rFonts w:hint="eastAsia" w:ascii="宋体" w:hAnsi="宋体" w:eastAsia="宋体" w:cs="宋体"/>
          <w:b w:val="0"/>
          <w:bCs w:val="0"/>
          <w:spacing w:val="0"/>
          <w:sz w:val="28"/>
          <w:szCs w:val="28"/>
          <w:u w:val="none"/>
          <w:lang w:val="en-US" w:eastAsia="zh-CN"/>
          <w14:textOutline w14:w="5094" w14:cap="flat" w14:cmpd="sng">
            <w14:solidFill>
              <w14:srgbClr w14:val="000000"/>
            </w14:solidFill>
            <w14:prstDash w14:val="solid"/>
            <w14:miter w14:val="0"/>
          </w14:textOutline>
        </w:rPr>
        <w:t>三、实用技术申报要求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（一）实用技术基本要求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ascii="宋体" w:hAnsi="宋体" w:eastAsia="宋体" w:cs="宋体"/>
          <w:spacing w:val="0"/>
          <w:sz w:val="28"/>
          <w:szCs w:val="28"/>
        </w:rPr>
        <w:t>1.符合国家相关法律、法规、政策和标准要求；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ascii="宋体" w:hAnsi="宋体" w:eastAsia="宋体" w:cs="宋体"/>
          <w:spacing w:val="0"/>
          <w:sz w:val="28"/>
          <w:szCs w:val="28"/>
        </w:rPr>
        <w:t>2.污染防治效果明显；</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ascii="宋体" w:hAnsi="宋体" w:eastAsia="宋体" w:cs="宋体"/>
          <w:spacing w:val="0"/>
          <w:sz w:val="28"/>
          <w:szCs w:val="28"/>
        </w:rPr>
        <w:t>3.技术先进、工艺成熟、运行可靠、经济合理；</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ascii="宋体" w:hAnsi="宋体" w:eastAsia="宋体" w:cs="宋体"/>
          <w:spacing w:val="0"/>
          <w:sz w:val="28"/>
          <w:szCs w:val="28"/>
        </w:rPr>
        <w:t>4.技术适用性强，可广泛推广应用；</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ascii="宋体" w:hAnsi="宋体" w:eastAsia="宋体" w:cs="宋体"/>
          <w:spacing w:val="0"/>
          <w:sz w:val="28"/>
          <w:szCs w:val="28"/>
        </w:rPr>
        <w:t>5.至少有</w:t>
      </w:r>
      <w:r>
        <w:rPr>
          <w:rFonts w:hint="eastAsia" w:ascii="宋体" w:hAnsi="宋体" w:eastAsia="宋体" w:cs="宋体"/>
          <w:spacing w:val="0"/>
          <w:sz w:val="28"/>
          <w:szCs w:val="28"/>
          <w:lang w:val="en-US" w:eastAsia="zh-CN"/>
        </w:rPr>
        <w:t>1</w:t>
      </w:r>
      <w:r>
        <w:rPr>
          <w:rFonts w:ascii="宋体" w:hAnsi="宋体" w:eastAsia="宋体" w:cs="宋体"/>
          <w:spacing w:val="0"/>
          <w:sz w:val="28"/>
          <w:szCs w:val="28"/>
        </w:rPr>
        <w:t>项应用案例，且项目连续</w:t>
      </w:r>
      <w:r>
        <w:rPr>
          <w:rFonts w:hint="default" w:ascii="宋体" w:hAnsi="宋体" w:eastAsia="宋体" w:cs="宋体"/>
          <w:spacing w:val="0"/>
          <w:sz w:val="28"/>
          <w:szCs w:val="28"/>
          <w:lang w:val="en-US" w:eastAsia="zh-CN"/>
        </w:rPr>
        <w:t>正常</w:t>
      </w:r>
      <w:r>
        <w:rPr>
          <w:rFonts w:ascii="宋体" w:hAnsi="宋体" w:eastAsia="宋体" w:cs="宋体"/>
          <w:spacing w:val="0"/>
          <w:sz w:val="28"/>
          <w:szCs w:val="28"/>
        </w:rPr>
        <w:t>运行</w:t>
      </w:r>
      <w:r>
        <w:rPr>
          <w:rFonts w:hint="default" w:ascii="宋体" w:hAnsi="宋体" w:eastAsia="宋体" w:cs="宋体"/>
          <w:spacing w:val="0"/>
          <w:sz w:val="28"/>
          <w:szCs w:val="28"/>
          <w:lang w:val="en-US" w:eastAsia="zh-CN"/>
        </w:rPr>
        <w:t>6个月</w:t>
      </w:r>
      <w:r>
        <w:rPr>
          <w:rFonts w:ascii="宋体" w:hAnsi="宋体" w:eastAsia="宋体" w:cs="宋体"/>
          <w:spacing w:val="0"/>
          <w:sz w:val="28"/>
          <w:szCs w:val="28"/>
        </w:rPr>
        <w:t>以上（投运至结束不足</w:t>
      </w:r>
      <w:r>
        <w:rPr>
          <w:rFonts w:hint="default" w:ascii="宋体" w:hAnsi="宋体" w:eastAsia="宋体" w:cs="宋体"/>
          <w:spacing w:val="0"/>
          <w:sz w:val="28"/>
          <w:szCs w:val="28"/>
          <w:lang w:val="en-US" w:eastAsia="zh-CN"/>
        </w:rPr>
        <w:t>6个月</w:t>
      </w:r>
      <w:r>
        <w:rPr>
          <w:rFonts w:ascii="宋体" w:hAnsi="宋体" w:eastAsia="宋体" w:cs="宋体"/>
          <w:spacing w:val="0"/>
          <w:sz w:val="28"/>
          <w:szCs w:val="28"/>
        </w:rPr>
        <w:t>的短期性项目不要求）。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（二）申报单位要求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hint="eastAsia" w:ascii="宋体" w:hAnsi="宋体" w:eastAsia="宋体" w:cs="宋体"/>
          <w:spacing w:val="0"/>
          <w:sz w:val="28"/>
          <w:szCs w:val="28"/>
        </w:rPr>
        <w:t>1.</w:t>
      </w:r>
      <w:r>
        <w:rPr>
          <w:rFonts w:ascii="宋体" w:hAnsi="宋体" w:eastAsia="宋体" w:cs="宋体"/>
          <w:spacing w:val="0"/>
          <w:sz w:val="28"/>
          <w:szCs w:val="28"/>
        </w:rPr>
        <w:t>具有独立法人资格；</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ascii="宋体" w:hAnsi="宋体" w:eastAsia="宋体" w:cs="宋体"/>
          <w:spacing w:val="0"/>
          <w:sz w:val="28"/>
          <w:szCs w:val="28"/>
        </w:rPr>
      </w:pPr>
      <w:r>
        <w:rPr>
          <w:rFonts w:hint="eastAsia" w:ascii="宋体" w:hAnsi="宋体" w:eastAsia="宋体" w:cs="宋体"/>
          <w:spacing w:val="0"/>
          <w:sz w:val="28"/>
          <w:szCs w:val="28"/>
        </w:rPr>
        <w:t>2.</w:t>
      </w:r>
      <w:r>
        <w:rPr>
          <w:rFonts w:ascii="宋体" w:hAnsi="宋体" w:eastAsia="宋体" w:cs="宋体"/>
          <w:spacing w:val="0"/>
          <w:sz w:val="28"/>
          <w:szCs w:val="28"/>
        </w:rPr>
        <w:t>拥有所申报技术的所有权；有多个所有权单位的情况，如其中某个或某几个单位联合申报，须有其他单位同意的证明文件。如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right="0"/>
        <w:textAlignment w:val="baseline"/>
        <w:rPr>
          <w:rFonts w:hint="eastAsia" w:ascii="宋体" w:hAnsi="宋体" w:eastAsia="宋体" w:cs="宋体"/>
          <w:spacing w:val="0"/>
          <w:sz w:val="28"/>
          <w:szCs w:val="28"/>
          <w:lang w:val="en-US" w:eastAsia="zh-CN"/>
        </w:rPr>
      </w:pPr>
      <w:r>
        <w:rPr>
          <w:rFonts w:ascii="宋体" w:hAnsi="宋体" w:eastAsia="宋体" w:cs="宋体"/>
          <w:spacing w:val="0"/>
          <w:sz w:val="28"/>
          <w:szCs w:val="28"/>
        </w:rPr>
        <w:t>专利是非职务发明，须有专利所有权人同意该单位申报的证明文件</w:t>
      </w:r>
      <w:r>
        <w:rPr>
          <w:rFonts w:hint="eastAsia" w:ascii="宋体" w:hAnsi="宋体" w:eastAsia="宋体" w:cs="宋体"/>
          <w:spacing w:val="0"/>
          <w:sz w:val="28"/>
          <w:szCs w:val="28"/>
          <w:lang w:val="en-US" w:eastAsia="zh-CN"/>
        </w:rPr>
        <w:t>；</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right="0" w:firstLine="560" w:firstLineChars="200"/>
        <w:textAlignment w:val="baseline"/>
        <w:rPr>
          <w:rFonts w:ascii="宋体" w:hAnsi="宋体" w:eastAsia="宋体" w:cs="宋体"/>
          <w:spacing w:val="0"/>
          <w:sz w:val="28"/>
          <w:szCs w:val="28"/>
        </w:rPr>
      </w:pPr>
      <w:r>
        <w:rPr>
          <w:rFonts w:hint="eastAsia" w:ascii="宋体" w:hAnsi="宋体" w:eastAsia="宋体" w:cs="宋体"/>
          <w:spacing w:val="0"/>
          <w:sz w:val="28"/>
          <w:szCs w:val="28"/>
          <w:lang w:val="en-US" w:eastAsia="zh-CN"/>
        </w:rPr>
        <w:t>3.</w:t>
      </w:r>
      <w:r>
        <w:rPr>
          <w:rFonts w:ascii="宋体" w:hAnsi="宋体" w:eastAsia="宋体" w:cs="宋体"/>
          <w:spacing w:val="0"/>
          <w:sz w:val="28"/>
          <w:szCs w:val="28"/>
        </w:rPr>
        <w:t>在技术研发和应用方面发挥了重要作用；</w:t>
      </w:r>
    </w:p>
    <w:p>
      <w:pPr>
        <w:keepNext w:val="0"/>
        <w:keepLines w:val="0"/>
        <w:pageBreakBefore w:val="0"/>
        <w:widowControl/>
        <w:numPr>
          <w:ilvl w:val="0"/>
          <w:numId w:val="0"/>
        </w:numPr>
        <w:kinsoku w:val="0"/>
        <w:wordWrap/>
        <w:overflowPunct/>
        <w:topLinePunct w:val="0"/>
        <w:autoSpaceDE w:val="0"/>
        <w:autoSpaceDN w:val="0"/>
        <w:bidi w:val="0"/>
        <w:adjustRightInd w:val="0"/>
        <w:snapToGrid w:val="0"/>
        <w:spacing w:before="0" w:line="500" w:lineRule="exact"/>
        <w:ind w:right="0" w:rightChars="0" w:firstLine="560" w:firstLineChars="200"/>
        <w:textAlignment w:val="baseline"/>
        <w:rPr>
          <w:rFonts w:ascii="宋体" w:hAnsi="宋体" w:eastAsia="宋体" w:cs="宋体"/>
          <w:spacing w:val="0"/>
          <w:sz w:val="28"/>
          <w:szCs w:val="28"/>
        </w:rPr>
      </w:pPr>
      <w:r>
        <w:rPr>
          <w:rFonts w:hint="default" w:ascii="宋体" w:hAnsi="宋体" w:eastAsia="宋体" w:cs="宋体"/>
          <w:spacing w:val="0"/>
          <w:sz w:val="28"/>
          <w:szCs w:val="28"/>
        </w:rPr>
        <w:t>4.</w:t>
      </w:r>
      <w:r>
        <w:rPr>
          <w:rFonts w:ascii="宋体" w:hAnsi="宋体" w:eastAsia="宋体" w:cs="宋体"/>
          <w:spacing w:val="0"/>
          <w:sz w:val="28"/>
          <w:szCs w:val="28"/>
        </w:rPr>
        <w:t>联合申报单位数不超过</w:t>
      </w:r>
      <w:r>
        <w:rPr>
          <w:rFonts w:hint="default" w:ascii="宋体" w:hAnsi="宋体" w:eastAsia="宋体" w:cs="宋体"/>
          <w:spacing w:val="0"/>
          <w:sz w:val="28"/>
          <w:szCs w:val="28"/>
          <w:lang w:val="en-US" w:eastAsia="zh-CN"/>
        </w:rPr>
        <w:t>5</w:t>
      </w:r>
      <w:r>
        <w:rPr>
          <w:rFonts w:ascii="宋体" w:hAnsi="宋体" w:eastAsia="宋体" w:cs="宋体"/>
          <w:spacing w:val="0"/>
          <w:sz w:val="28"/>
          <w:szCs w:val="28"/>
        </w:rPr>
        <w:t>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（三）申报材料要求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lang w:val="en-US" w:eastAsia="zh-CN"/>
        </w:rPr>
        <w:t>1.</w:t>
      </w:r>
      <w:r>
        <w:rPr>
          <w:rFonts w:hint="eastAsia" w:ascii="宋体" w:hAnsi="宋体" w:eastAsia="宋体" w:cs="宋体"/>
          <w:spacing w:val="0"/>
          <w:sz w:val="28"/>
          <w:szCs w:val="28"/>
        </w:rPr>
        <w:t>申报材料包括在线申报材料和纸质申报材料，内容应</w:t>
      </w:r>
      <w:r>
        <w:rPr>
          <w:rFonts w:hint="eastAsia" w:ascii="宋体" w:hAnsi="宋体" w:eastAsia="宋体" w:cs="宋体"/>
          <w:spacing w:val="0"/>
          <w:sz w:val="28"/>
          <w:szCs w:val="28"/>
          <w:lang w:val="en-US" w:eastAsia="zh-CN"/>
        </w:rPr>
        <w:t>保持</w:t>
      </w:r>
      <w:r>
        <w:rPr>
          <w:rFonts w:hint="eastAsia" w:ascii="宋体" w:hAnsi="宋体" w:eastAsia="宋体" w:cs="宋体"/>
          <w:spacing w:val="0"/>
          <w:sz w:val="28"/>
          <w:szCs w:val="28"/>
        </w:rPr>
        <w:t>一致。</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lang w:val="en-US" w:eastAsia="zh-CN"/>
        </w:rPr>
        <w:t>2.</w:t>
      </w:r>
      <w:r>
        <w:rPr>
          <w:rFonts w:hint="eastAsia" w:ascii="宋体" w:hAnsi="宋体" w:eastAsia="宋体" w:cs="宋体"/>
          <w:spacing w:val="0"/>
          <w:sz w:val="28"/>
          <w:szCs w:val="28"/>
        </w:rPr>
        <w:t>附件要求：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（1）单位证照。提供所有申报单位的营业执照/事业单位法人证书/组织机构代码证复印件。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（2）技术所有权证明文件。包括专利证书（核心专利及主要有关专利）、技术转让合同或其它知识产权证明文件复印件。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3）典型应用案例的项目合同及验收报告。项目合同提供包括项目名称、承担内容、工期、签订时间、金额、合同相关各方盖章等信息的关键页。验收报告提供案例竣工验收报告和竣工环境保护验收报告（含验收监测报告）。</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（4）案例环境监测报告。包括典型应用案例对应的运行效果和二次污染控制效果监测报告复印件。连续运行项目提供证明案例近</w:t>
      </w:r>
      <w:r>
        <w:rPr>
          <w:rFonts w:hint="eastAsia" w:ascii="宋体" w:hAnsi="宋体" w:eastAsia="宋体" w:cs="宋体"/>
          <w:spacing w:val="0"/>
          <w:sz w:val="28"/>
          <w:szCs w:val="28"/>
          <w:lang w:val="en-US" w:eastAsia="zh-CN"/>
        </w:rPr>
        <w:t>6个月</w:t>
      </w:r>
      <w:r>
        <w:rPr>
          <w:rFonts w:hint="eastAsia" w:ascii="宋体" w:hAnsi="宋体" w:eastAsia="宋体" w:cs="宋体"/>
          <w:spacing w:val="0"/>
          <w:sz w:val="28"/>
          <w:szCs w:val="28"/>
        </w:rPr>
        <w:t>内运行效果的监测报告，已结束运行的阶段性案例提供时间较近的证明运行期间运行效果的监测报告。监测报告均须由具有资质的第三方出具。</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（5）用户意见。包括典型应用案例在内的两个应用案例的用户意见，均须由用户盖章（单位公章）。用户意见主要内容包括技术应用效果是否稳定达到合同要求、对申报单位的技术服务是否满意等。</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（6）装备或材料的检验报告。申报装备、材料时应提供装备或材料的检验报告，报告应由具有资质的检验机构出具。</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（7）技术水平证明资料。包括技术鉴定证书、查新报告等技术先进性和创新性证明文件复印件。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（8）会员情况。申报单位</w:t>
      </w:r>
      <w:r>
        <w:rPr>
          <w:rFonts w:hint="eastAsia" w:ascii="宋体" w:hAnsi="宋体" w:eastAsia="宋体" w:cs="宋体"/>
          <w:spacing w:val="0"/>
          <w:sz w:val="28"/>
          <w:szCs w:val="28"/>
          <w:lang w:val="en-US" w:eastAsia="zh-CN"/>
        </w:rPr>
        <w:t>持有</w:t>
      </w:r>
      <w:r>
        <w:rPr>
          <w:rFonts w:hint="eastAsia" w:ascii="宋体" w:hAnsi="宋体" w:eastAsia="宋体" w:cs="宋体"/>
          <w:spacing w:val="0"/>
          <w:sz w:val="28"/>
          <w:szCs w:val="28"/>
        </w:rPr>
        <w:t>的</w:t>
      </w:r>
      <w:r>
        <w:rPr>
          <w:rFonts w:hint="eastAsia" w:ascii="宋体" w:hAnsi="宋体" w:eastAsia="宋体" w:cs="宋体"/>
          <w:spacing w:val="0"/>
          <w:sz w:val="28"/>
          <w:szCs w:val="28"/>
          <w:lang w:val="en-US" w:eastAsia="zh-CN"/>
        </w:rPr>
        <w:t>安徽省环境保护产业协会</w:t>
      </w:r>
      <w:r>
        <w:rPr>
          <w:rFonts w:hint="eastAsia" w:ascii="宋体" w:hAnsi="宋体" w:eastAsia="宋体" w:cs="宋体"/>
          <w:spacing w:val="0"/>
          <w:sz w:val="28"/>
          <w:szCs w:val="28"/>
        </w:rPr>
        <w:t>有效期内会员证书。</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（9）其它证明材料。奖励荣誉证书等。</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rPr>
      </w:pPr>
      <w:r>
        <w:rPr>
          <w:rFonts w:hint="eastAsia" w:ascii="宋体" w:hAnsi="宋体" w:eastAsia="宋体" w:cs="宋体"/>
          <w:spacing w:val="0"/>
          <w:sz w:val="28"/>
          <w:szCs w:val="28"/>
        </w:rPr>
        <w:t>其中</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1）</w:t>
      </w:r>
      <w:r>
        <w:rPr>
          <w:rFonts w:hint="eastAsia" w:ascii="宋体" w:hAnsi="宋体" w:eastAsia="宋体" w:cs="宋体"/>
          <w:spacing w:val="0"/>
          <w:sz w:val="28"/>
          <w:szCs w:val="28"/>
        </w:rPr>
        <w:t>～</w:t>
      </w:r>
      <w:r>
        <w:rPr>
          <w:rFonts w:hint="eastAsia" w:ascii="宋体" w:hAnsi="宋体" w:eastAsia="宋体" w:cs="宋体"/>
          <w:spacing w:val="0"/>
          <w:sz w:val="28"/>
          <w:szCs w:val="28"/>
          <w:lang w:eastAsia="zh-CN"/>
        </w:rPr>
        <w:t>（</w:t>
      </w:r>
      <w:r>
        <w:rPr>
          <w:rFonts w:hint="eastAsia" w:ascii="宋体" w:hAnsi="宋体" w:eastAsia="宋体" w:cs="宋体"/>
          <w:spacing w:val="0"/>
          <w:sz w:val="28"/>
          <w:szCs w:val="28"/>
          <w:lang w:val="en-US" w:eastAsia="zh-CN"/>
        </w:rPr>
        <w:t>5）</w:t>
      </w:r>
      <w:r>
        <w:rPr>
          <w:rFonts w:hint="eastAsia" w:ascii="宋体" w:hAnsi="宋体" w:eastAsia="宋体" w:cs="宋体"/>
          <w:spacing w:val="0"/>
          <w:sz w:val="28"/>
          <w:szCs w:val="28"/>
        </w:rPr>
        <w:t>项为所有项目都应具备的通用必备材料，其他项为可选（非必备）材料。</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outlineLvl w:val="0"/>
        <w:rPr>
          <w:rFonts w:ascii="宋体" w:hAnsi="宋体" w:eastAsia="宋体" w:cs="宋体"/>
          <w:sz w:val="28"/>
          <w:szCs w:val="28"/>
        </w:rPr>
      </w:pPr>
      <w:r>
        <w:rPr>
          <w:rFonts w:hint="eastAsia" w:ascii="宋体" w:hAnsi="宋体" w:eastAsia="宋体" w:cs="宋体"/>
          <w:spacing w:val="0"/>
          <w:sz w:val="28"/>
          <w:szCs w:val="28"/>
          <w:lang w:val="en-US" w:eastAsia="zh-CN"/>
          <w14:textOutline w14:w="5094" w14:cap="flat" w14:cmpd="sng">
            <w14:solidFill>
              <w14:srgbClr w14:val="000000"/>
            </w14:solidFill>
            <w14:prstDash w14:val="solid"/>
            <w14:miter w14:val="0"/>
          </w14:textOutline>
        </w:rPr>
        <w:t>四</w:t>
      </w:r>
      <w:r>
        <w:rPr>
          <w:rFonts w:ascii="宋体" w:hAnsi="宋体" w:eastAsia="宋体" w:cs="宋体"/>
          <w:spacing w:val="0"/>
          <w:sz w:val="28"/>
          <w:szCs w:val="28"/>
          <w14:textOutline w14:w="5094" w14:cap="flat" w14:cmpd="sng">
            <w14:solidFill>
              <w14:srgbClr w14:val="000000"/>
            </w14:solidFill>
            <w14:prstDash w14:val="solid"/>
            <w14:miter w14:val="0"/>
          </w14:textOutline>
        </w:rPr>
        <w:t>、示范工程申报要求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（一）示范工程基本要求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1.通过竣工验收和竣工环境保护验收，且满足国家和地方标准要求；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2.连续运行工程验收后稳定运行满6个月且未满5年；从投运至结束不足6个月的短期性工程验收后未满3年；</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3.采用的技术水平先进，具有行业示范引导作用；</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4.工程运行管理规范，有完善的运行管理制度，完整的运行、维护记录；</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5.运行期内未发生任何事故和环境违法违规行为；</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6.必要时，应取得排污许可证。</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（二）申报单位要求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1.具有独立法人资格；</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2.为工程业主、总承包、设计、施工、主要设备制造或运维等单位，也可由上述单位联合申报；</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3.联合申报单位数不超过5家；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default"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4</w:t>
      </w:r>
      <w:r>
        <w:rPr>
          <w:rFonts w:hint="default" w:ascii="宋体" w:hAnsi="宋体" w:eastAsia="宋体" w:cs="宋体"/>
          <w:spacing w:val="0"/>
          <w:sz w:val="28"/>
          <w:szCs w:val="28"/>
          <w:lang w:val="en-US" w:eastAsia="zh-CN"/>
        </w:rPr>
        <w:t>.同一申报单位当年申报示范工程项数不超过3项。</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rPr>
          <w:rFonts w:ascii="宋体" w:hAnsi="宋体" w:eastAsia="宋体" w:cs="宋体"/>
          <w:sz w:val="28"/>
          <w:szCs w:val="28"/>
        </w:rPr>
      </w:pPr>
      <w:r>
        <w:rPr>
          <w:rFonts w:ascii="宋体" w:hAnsi="宋体" w:eastAsia="宋体" w:cs="宋体"/>
          <w:spacing w:val="0"/>
          <w:sz w:val="28"/>
          <w:szCs w:val="28"/>
          <w14:textOutline w14:w="5094" w14:cap="flat" w14:cmpd="sng">
            <w14:solidFill>
              <w14:srgbClr w14:val="000000"/>
            </w14:solidFill>
            <w14:prstDash w14:val="solid"/>
            <w14:miter w14:val="0"/>
          </w14:textOutline>
        </w:rPr>
        <w:t>（三）申报材料要求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1.同一申报单位在同一行业中应用相同或类似工艺路线的工程项目，只能择优申报其中一项，不可重复申报；</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2.申报材料包括在线申报材料和纸质申报材料，内容应保持一致。</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3.申报材料包括示范工程申报书、业主单位意见和附件；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4.附件要求：</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（1）单位证照。提供所有申报单位的营业执照/事业单位法人证书/组织机构代码证复印件。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（2）工程合同。提供包括项目名称、承担内容、工期、签订时间、金额、合同相关各方盖章等信息的关键页。</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（3）工程验收报告。工程竣工验收报告和竣工环境保护验收报告（含验收监测报告）。</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4）工程环境监测报告。包括工程环保效果和二次污染控制效果监测报告。连续运行项目提供证明工程近一年内运行效果的监测报告，已结束运行的阶段性工程提供时间较近的证明运行期间运行效果的监测报告。监测报告均须由具有资质的第三方出具。</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（5）工程运行管理制度清单和运行记录。提供工程运行管理制度清单；连续运行项目提供近一年内某一周的原始运行和维护记录，已结束运行的阶段性工程提供时间较近的某一周的原始运行和维护记录。</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（6）排污许可证。提供排污许可证复印件。</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（7）会员证书。申报单位持有的安徽省环境保护产业协会有效期内的会员证书。</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（8）其他证明材料。工程获得的奖励荣誉证书等。</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其中，（1）～（5）项为所有项目都应具备的通用必备材料，其他项为可选（非必备）材料。</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firstLine="560" w:firstLineChars="200"/>
        <w:textAlignment w:val="baseline"/>
        <w:outlineLvl w:val="6"/>
        <w:rPr>
          <w:rFonts w:ascii="宋体" w:hAnsi="宋体" w:eastAsia="宋体" w:cs="宋体"/>
          <w:sz w:val="28"/>
          <w:szCs w:val="28"/>
        </w:rPr>
      </w:pPr>
      <w:r>
        <w:rPr>
          <w:rFonts w:hint="eastAsia" w:ascii="宋体" w:hAnsi="宋体" w:eastAsia="宋体" w:cs="宋体"/>
          <w:spacing w:val="0"/>
          <w:sz w:val="28"/>
          <w:szCs w:val="28"/>
          <w:lang w:val="en-US" w:eastAsia="zh-CN"/>
          <w14:textOutline w14:w="5094" w14:cap="flat" w14:cmpd="sng">
            <w14:solidFill>
              <w14:srgbClr w14:val="000000"/>
            </w14:solidFill>
            <w14:prstDash w14:val="solid"/>
            <w14:miter w14:val="0"/>
          </w14:textOutline>
        </w:rPr>
        <w:t>五</w:t>
      </w:r>
      <w:r>
        <w:rPr>
          <w:rFonts w:ascii="宋体" w:hAnsi="宋体" w:eastAsia="宋体" w:cs="宋体"/>
          <w:spacing w:val="0"/>
          <w:sz w:val="28"/>
          <w:szCs w:val="28"/>
          <w14:textOutline w14:w="5094" w14:cap="flat" w14:cmpd="sng">
            <w14:solidFill>
              <w14:srgbClr w14:val="000000"/>
            </w14:solidFill>
            <w14:prstDash w14:val="solid"/>
            <w14:miter w14:val="0"/>
          </w14:textOutline>
        </w:rPr>
        <w:t>、其他</w:t>
      </w:r>
    </w:p>
    <w:p>
      <w:pPr>
        <w:keepNext w:val="0"/>
        <w:keepLines w:val="0"/>
        <w:pageBreakBefore w:val="0"/>
        <w:widowControl/>
        <w:kinsoku w:val="0"/>
        <w:wordWrap/>
        <w:overflowPunct/>
        <w:topLinePunct w:val="0"/>
        <w:autoSpaceDE w:val="0"/>
        <w:autoSpaceDN w:val="0"/>
        <w:bidi w:val="0"/>
        <w:adjustRightInd w:val="0"/>
        <w:snapToGrid w:val="0"/>
        <w:spacing w:before="0" w:line="500" w:lineRule="exact"/>
        <w:ind w:left="0" w:right="0" w:firstLine="560" w:firstLineChars="200"/>
        <w:textAlignment w:val="baseline"/>
        <w:rPr>
          <w:rFonts w:hint="eastAsia" w:ascii="宋体" w:hAnsi="宋体" w:eastAsia="宋体" w:cs="宋体"/>
          <w:spacing w:val="0"/>
          <w:sz w:val="28"/>
          <w:szCs w:val="28"/>
          <w:lang w:val="en-US" w:eastAsia="zh-CN"/>
        </w:rPr>
      </w:pPr>
      <w:r>
        <w:rPr>
          <w:rFonts w:hint="eastAsia" w:ascii="宋体" w:hAnsi="宋体" w:eastAsia="宋体" w:cs="宋体"/>
          <w:spacing w:val="0"/>
          <w:sz w:val="28"/>
          <w:szCs w:val="28"/>
          <w:lang w:val="en-US" w:eastAsia="zh-CN"/>
        </w:rPr>
        <w:t>为准确客观地判断技术和工程的先进性，申报审核流程中将安排专家审查相关材料，部分项目还将安排现场考察，我会将就申报材料完善、专家疑问解答、项目现场、考察等事宜与申报单位沟通联系，请予配合。</w:t>
      </w:r>
    </w:p>
    <w:sectPr>
      <w:footerReference r:id="rId5" w:type="default"/>
      <w:pgSz w:w="11907" w:h="16839"/>
      <w:pgMar w:top="1440" w:right="1803" w:bottom="1440" w:left="1803" w:header="0" w:footer="1026" w:gutter="0"/>
      <w:pgNumType w:fmt="decimal" w:start="1"/>
      <w:cols w:space="0" w:num="1"/>
      <w:rtlGutter w:val="0"/>
      <w:docGrid w:linePitch="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24" w:lineRule="exact"/>
      <w:ind w:firstLine="4131"/>
      <w:rPr>
        <w:rFonts w:ascii="Times New Roman" w:hAnsi="Times New Roman" w:eastAsia="Times New Roman" w:cs="Times New Roman"/>
        <w:sz w:val="18"/>
        <w:szCs w:val="18"/>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1</w:t>
                    </w:r>
                    <w:r>
                      <w:rPr>
                        <w:rFonts w:hint="eastAsia" w:ascii="宋体" w:hAnsi="宋体" w:eastAsia="宋体" w:cs="宋体"/>
                        <w:sz w:val="21"/>
                        <w:szCs w:val="21"/>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6568E6"/>
    <w:multiLevelType w:val="singleLevel"/>
    <w:tmpl w:val="C26568E6"/>
    <w:lvl w:ilvl="0" w:tentative="0">
      <w:start w:val="10"/>
      <w:numFmt w:val="chineseCounting"/>
      <w:suff w:val="nothing"/>
      <w:lvlText w:val="（%1）"/>
      <w:lvlJc w:val="left"/>
      <w:rPr>
        <w:rFonts w:hint="eastAsia"/>
      </w:rPr>
    </w:lvl>
  </w:abstractNum>
  <w:abstractNum w:abstractNumId="1">
    <w:nsid w:val="1F37F868"/>
    <w:multiLevelType w:val="singleLevel"/>
    <w:tmpl w:val="1F37F868"/>
    <w:lvl w:ilvl="0" w:tentative="0">
      <w:start w:val="1"/>
      <w:numFmt w:val="chineseCounting"/>
      <w:suff w:val="nothing"/>
      <w:lvlText w:val="（%1）"/>
      <w:lvlJc w:val="left"/>
      <w:rPr>
        <w:rFonts w:hint="eastAsia"/>
      </w:rPr>
    </w:lvl>
  </w:abstractNum>
  <w:abstractNum w:abstractNumId="2">
    <w:nsid w:val="24035EEE"/>
    <w:multiLevelType w:val="singleLevel"/>
    <w:tmpl w:val="24035EEE"/>
    <w:lvl w:ilvl="0" w:tentative="0">
      <w:start w:val="2"/>
      <w:numFmt w:val="chineseCounting"/>
      <w:suff w:val="nothing"/>
      <w:lvlText w:val="%1、"/>
      <w:lvlJc w:val="left"/>
      <w:rPr>
        <w:rFonts w:hint="eastAsia"/>
      </w:rPr>
    </w:lvl>
  </w:abstractNum>
  <w:abstractNum w:abstractNumId="3">
    <w:nsid w:val="3F5D4F33"/>
    <w:multiLevelType w:val="singleLevel"/>
    <w:tmpl w:val="3F5D4F33"/>
    <w:lvl w:ilvl="0" w:tentative="0">
      <w:start w:val="6"/>
      <w:numFmt w:val="chineseCounting"/>
      <w:suff w:val="nothing"/>
      <w:lvlText w:val="（%1）"/>
      <w:lvlJc w:val="left"/>
      <w:rPr>
        <w:rFonts w:hint="eastAsia"/>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YTc5ZWI4MTdiNDU4ZDJkNjMwM2QzODQyMTcwNmNkMmEifQ=="/>
  </w:docVars>
  <w:rsids>
    <w:rsidRoot w:val="00000000"/>
    <w:rsid w:val="00114D25"/>
    <w:rsid w:val="034E2221"/>
    <w:rsid w:val="04B52C5F"/>
    <w:rsid w:val="0E032C8D"/>
    <w:rsid w:val="0E7616B1"/>
    <w:rsid w:val="11F833F0"/>
    <w:rsid w:val="12F72478"/>
    <w:rsid w:val="15D171CD"/>
    <w:rsid w:val="1A3D728D"/>
    <w:rsid w:val="1AAD645B"/>
    <w:rsid w:val="1AF131D3"/>
    <w:rsid w:val="1C1F616F"/>
    <w:rsid w:val="1DBD70AE"/>
    <w:rsid w:val="223160AA"/>
    <w:rsid w:val="2B715282"/>
    <w:rsid w:val="2C6669D8"/>
    <w:rsid w:val="2CB91F1C"/>
    <w:rsid w:val="2FBF1DE0"/>
    <w:rsid w:val="37E62C24"/>
    <w:rsid w:val="3F611DD9"/>
    <w:rsid w:val="40A8309D"/>
    <w:rsid w:val="48DA1670"/>
    <w:rsid w:val="4CB4275F"/>
    <w:rsid w:val="4D6363BA"/>
    <w:rsid w:val="4DCC274C"/>
    <w:rsid w:val="50D621D9"/>
    <w:rsid w:val="52570BE9"/>
    <w:rsid w:val="540006A2"/>
    <w:rsid w:val="567C28F3"/>
    <w:rsid w:val="5E0042D9"/>
    <w:rsid w:val="5F960EEB"/>
    <w:rsid w:val="633C45CA"/>
    <w:rsid w:val="63C21355"/>
    <w:rsid w:val="68B2013D"/>
    <w:rsid w:val="69B31C00"/>
    <w:rsid w:val="6C567A48"/>
    <w:rsid w:val="6C816902"/>
    <w:rsid w:val="6DA852E7"/>
    <w:rsid w:val="6E451A45"/>
    <w:rsid w:val="747628AB"/>
    <w:rsid w:val="78DA7B1D"/>
    <w:rsid w:val="7EA5464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6">
    <w:name w:val="Table Normal"/>
    <w:autoRedefine/>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6</Pages>
  <Words>3011</Words>
  <Characters>3073</Characters>
  <TotalTime>17</TotalTime>
  <ScaleCrop>false</ScaleCrop>
  <LinksUpToDate>false</LinksUpToDate>
  <CharactersWithSpaces>3073</CharactersWithSpaces>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2021-04-12T14:21:00Z</dcterms:created>
  <dc:creator>richardwang</dc:creator>
  <cp:lastModifiedBy>环保</cp:lastModifiedBy>
  <dcterms:modified xsi:type="dcterms:W3CDTF">2024-02-21T02:39:22Z</dcterms:modified>
  <dc:title>《中国环境保护产业协会</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wqlLaW5nc29mdCBQREYgdG8gV1BTIDY1</vt:lpwstr>
  </property>
  <property fmtid="{D5CDD505-2E9C-101B-9397-08002B2CF9AE}" pid="3" name="Created">
    <vt:filetime>2022-02-23T16:19:51Z</vt:filetime>
  </property>
  <property fmtid="{D5CDD505-2E9C-101B-9397-08002B2CF9AE}" pid="4" name="KSOProductBuildVer">
    <vt:lpwstr>2052-12.1.0.16250</vt:lpwstr>
  </property>
  <property fmtid="{D5CDD505-2E9C-101B-9397-08002B2CF9AE}" pid="5" name="ICV">
    <vt:lpwstr>7C06A8046EF34454A4B590E4B7377F2D</vt:lpwstr>
  </property>
</Properties>
</file>